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73C784A6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</w:t>
      </w:r>
      <w:r w:rsidR="00E644E8">
        <w:rPr>
          <w:rFonts w:ascii="Arial" w:hAnsi="Arial" w:cs="Arial"/>
          <w:b/>
          <w:sz w:val="24"/>
        </w:rPr>
        <w:t>5</w:t>
      </w:r>
      <w:r w:rsidR="00E644E8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72282" w:rsidRPr="00972282">
        <w:rPr>
          <w:rFonts w:ascii="Arial" w:hAnsi="Arial" w:cs="Arial"/>
          <w:b/>
          <w:sz w:val="24"/>
        </w:rPr>
        <w:t>R4-2505418</w:t>
      </w:r>
    </w:p>
    <w:p w14:paraId="5B9CF4B1" w14:textId="5C45FCC1" w:rsidR="00BD6168" w:rsidRDefault="00E644E8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19</w:t>
      </w:r>
      <w:r w:rsidR="004B17F8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23rd</w:t>
      </w:r>
      <w:r w:rsidR="004B17F8" w:rsidRPr="000A7A0F">
        <w:rPr>
          <w:rFonts w:ascii="Arial" w:hAnsi="Arial" w:cs="Arial"/>
          <w:b/>
          <w:sz w:val="24"/>
        </w:rPr>
        <w:t xml:space="preserve"> </w:t>
      </w:r>
      <w:r w:rsidR="009A2471">
        <w:rPr>
          <w:rFonts w:ascii="Arial" w:hAnsi="Arial" w:cs="Arial"/>
          <w:b/>
          <w:sz w:val="24"/>
        </w:rPr>
        <w:t>May</w:t>
      </w:r>
      <w:r w:rsidR="004B17F8" w:rsidRPr="000A7A0F">
        <w:rPr>
          <w:rFonts w:ascii="Arial" w:hAnsi="Arial" w:cs="Arial"/>
          <w:b/>
          <w:sz w:val="24"/>
        </w:rPr>
        <w:t xml:space="preserve"> 202</w:t>
      </w:r>
      <w:r w:rsidR="004B17F8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EFB87B9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972282">
        <w:t>7.10.3.2.1</w:t>
      </w:r>
    </w:p>
    <w:p w14:paraId="4DBE005A" w14:textId="435B6071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D877ED">
        <w:t>, Globalstar</w:t>
      </w:r>
    </w:p>
    <w:p w14:paraId="0D2061A1" w14:textId="166E1C0D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234D6F" w:rsidRPr="00234D6F">
        <w:t xml:space="preserve">Initial </w:t>
      </w:r>
      <w:r w:rsidR="00BB60B3">
        <w:t>power back-off</w:t>
      </w:r>
      <w:r w:rsidR="00234D6F" w:rsidRPr="00234D6F">
        <w:t xml:space="preserve"> results for PC2 </w:t>
      </w:r>
      <w:r w:rsidR="00B52DD2">
        <w:t>on NTN L-/S-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26F78750" w:rsidR="005C6D6D" w:rsidRDefault="005C6D6D" w:rsidP="00E27B54"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higher power class PC2 for all satellite bands including band n254</w:t>
      </w:r>
      <w:r>
        <w:t xml:space="preserve">. </w:t>
      </w:r>
      <w:r w:rsidR="0028060A">
        <w:t xml:space="preserve">Thus, in this discussion paper we present our preliminary </w:t>
      </w:r>
      <w:r w:rsidR="00CD0B17">
        <w:t>power back-off</w:t>
      </w:r>
      <w:r w:rsidR="0028060A">
        <w:t xml:space="preserve"> simulation results for the PC2 power class operating in band n254 frequency range.</w:t>
      </w:r>
      <w:r w:rsidR="003A4243">
        <w:t xml:space="preserve"> </w:t>
      </w:r>
    </w:p>
    <w:p w14:paraId="6078594E" w14:textId="2A53DFF0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CD0B17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5E0DE814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only the PC3 power class was assumed and only for which A-MPR was simulated. The corresponding results are gathered and summarised in TR 38.791. Here we present further </w:t>
      </w:r>
      <w:r w:rsidR="00CD0B17">
        <w:t>power back-off</w:t>
      </w:r>
      <w:r>
        <w:t xml:space="preserve">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77777777" w:rsidR="00FB4C0B" w:rsidRDefault="00FB4C0B" w:rsidP="00FB4C0B">
      <w:pPr>
        <w:pStyle w:val="B1"/>
      </w:pPr>
      <w:r>
        <w:t>-</w:t>
      </w:r>
      <w:r>
        <w:tab/>
        <w:t>Regulations: ETSI and FCC</w:t>
      </w:r>
    </w:p>
    <w:p w14:paraId="50B52737" w14:textId="67AA70C7" w:rsidR="00FB4C0B" w:rsidRPr="004517C6" w:rsidRDefault="00FB4C0B" w:rsidP="00FB4C0B">
      <w:r w:rsidRPr="004517C6">
        <w:t>For the sake of completeness, Figure 2.1-1 below shows all configuration cases for the 5, 10 and 15MHz channels with the corresponding centre frequencies used for the power back-off simulations</w:t>
      </w:r>
      <w:r>
        <w:t xml:space="preserve"> (it should be noted that this time we present our results only for the 5MHz channel</w:t>
      </w:r>
      <w:r w:rsidR="00CD0B17">
        <w:t xml:space="preserve"> whereupon the 3MHz channel results are not present either</w:t>
      </w:r>
      <w:r>
        <w:t>)</w:t>
      </w:r>
      <w:r w:rsidRPr="004517C6">
        <w:t xml:space="preserve">. </w:t>
      </w:r>
    </w:p>
    <w:p w14:paraId="50AE4A50" w14:textId="77777777" w:rsidR="00FB4C0B" w:rsidRPr="00A65586" w:rsidRDefault="00FB4C0B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5E2B6AD2" wp14:editId="42ADEDFA">
            <wp:extent cx="2628900" cy="2781300"/>
            <wp:effectExtent l="0" t="0" r="0" b="0"/>
            <wp:docPr id="1882725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25271" name="Picture 18827252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79763E81" w:rsidR="00326299" w:rsidRDefault="00FB4C0B" w:rsidP="00DE1167">
      <w:pPr>
        <w:pStyle w:val="TF"/>
      </w:pPr>
      <w:r w:rsidRPr="0042472F">
        <w:t>Figure 2.1-1: Considered channels for power back-off simulations.</w:t>
      </w:r>
    </w:p>
    <w:p w14:paraId="04E7D5EA" w14:textId="5A3C9AF4" w:rsidR="00326299" w:rsidRDefault="00326299" w:rsidP="00326299">
      <w:pPr>
        <w:pStyle w:val="Heading2"/>
      </w:pPr>
      <w:r>
        <w:t>2.2</w:t>
      </w:r>
      <w:r>
        <w:tab/>
      </w:r>
      <w:r w:rsidR="00CD0B17">
        <w:t>Power back-off</w:t>
      </w:r>
      <w:r>
        <w:t xml:space="preserve"> </w:t>
      </w:r>
      <w:r w:rsidR="00CD0B17">
        <w:t>results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2E5DFABF" w14:textId="291B5A33" w:rsidR="00AC3F6A" w:rsidRPr="00AC3F6A" w:rsidRDefault="00AC3F6A" w:rsidP="00AC3F6A">
      <w:r>
        <w:t xml:space="preserve">Figure 2.2-1 and Figure 2.2-2 present simulation results for NS_04N, which corresponds to the first frequency sub-range 1610-1618MHz under the ETSI requirements. </w:t>
      </w:r>
      <w:r w:rsidR="00E12073">
        <w:t xml:space="preserve">The simulation results are </w:t>
      </w:r>
      <w:proofErr w:type="gramStart"/>
      <w:r w:rsidR="00E12073">
        <w:t>similar to</w:t>
      </w:r>
      <w:proofErr w:type="gramEnd"/>
      <w:r w:rsidR="00E12073">
        <w:t xml:space="preserve"> the one obtained for the PC3 power class with the only major difference that power back-off values are larger for large RB allocations. For small RB allocations they are </w:t>
      </w:r>
      <w:r w:rsidR="00A66D34">
        <w:t xml:space="preserve">typically </w:t>
      </w:r>
      <w:r w:rsidR="00E12073">
        <w:t xml:space="preserve">within MPR limits. If the 5MHz channel is shifted further from the left edge by 1.4MHz, </w:t>
      </w:r>
      <w:r w:rsidR="00A66D34">
        <w:t xml:space="preserve">as can be seen from Figure2.2-2, </w:t>
      </w:r>
      <w:r w:rsidR="00E12073">
        <w:t xml:space="preserve">then small RB allocations will need only </w:t>
      </w:r>
      <w:r w:rsidR="00A66D34">
        <w:t xml:space="preserve">small </w:t>
      </w:r>
      <w:r w:rsidR="00E12073">
        <w:t xml:space="preserve">power back-off.  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5505DF1F" w:rsidR="00485965" w:rsidRDefault="00485965" w:rsidP="00A75F77">
      <w:pPr>
        <w:jc w:val="both"/>
        <w:rPr>
          <w:noProof/>
        </w:rPr>
      </w:pPr>
      <w:r w:rsidRPr="00485965">
        <w:rPr>
          <w:noProof/>
        </w:rPr>
        <w:drawing>
          <wp:inline distT="0" distB="0" distL="0" distR="0" wp14:anchorId="5D4D8F5D" wp14:editId="22A104D4">
            <wp:extent cx="6122035" cy="1458595"/>
            <wp:effectExtent l="0" t="0" r="0" b="1905"/>
            <wp:docPr id="1336715517" name="Picture 1" descr="A graph of different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715517" name="Picture 1" descr="A graph of different color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55DD0010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>
        <w:t xml:space="preserve">A-MPR results for NS_04N (Fc=1612.5MHz). </w:t>
      </w:r>
    </w:p>
    <w:p w14:paraId="40B5DBC5" w14:textId="77777777" w:rsidR="00485965" w:rsidRDefault="00485965" w:rsidP="00A75F77">
      <w:pPr>
        <w:jc w:val="both"/>
      </w:pPr>
    </w:p>
    <w:p w14:paraId="09AA921A" w14:textId="49C30A1B" w:rsidR="00485965" w:rsidRDefault="00366323" w:rsidP="00A75F77">
      <w:pPr>
        <w:jc w:val="both"/>
      </w:pPr>
      <w:r w:rsidRPr="00366323">
        <w:rPr>
          <w:noProof/>
        </w:rPr>
        <w:drawing>
          <wp:inline distT="0" distB="0" distL="0" distR="0" wp14:anchorId="5A6791B0" wp14:editId="4F6E6C29">
            <wp:extent cx="6122035" cy="1385570"/>
            <wp:effectExtent l="0" t="0" r="0" b="0"/>
            <wp:docPr id="132030509" name="Picture 1" descr="A graph with different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0509" name="Picture 1" descr="A graph with different colored bar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32C21B8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>
        <w:t>A-MPR results for NS_04N (Fc=1613.9MHz).</w:t>
      </w:r>
    </w:p>
    <w:p w14:paraId="64631DBF" w14:textId="77777777" w:rsidR="00A00F77" w:rsidRDefault="00A00F77" w:rsidP="00BD5FE5"/>
    <w:p w14:paraId="67D73B1D" w14:textId="385C6C14" w:rsidR="00A00F77" w:rsidRDefault="00A00F77" w:rsidP="00A00F77">
      <w:pPr>
        <w:pStyle w:val="Heading3"/>
      </w:pPr>
      <w:r>
        <w:t>2.2.2</w:t>
      </w:r>
      <w:r>
        <w:tab/>
        <w:t>1618-1626.5MHz ETSI sub-range (NS_05N)</w:t>
      </w:r>
    </w:p>
    <w:p w14:paraId="3B4E8018" w14:textId="64FD634C" w:rsidR="00D16E5B" w:rsidRDefault="002D16A6" w:rsidP="00BD5FE5">
      <w:r>
        <w:t xml:space="preserve">Next, Figure 2.2-3 presents simulations results for NS_05N, which is the second frequency sub-range 1618-1626.5MHz operating under the ETSI requirements. Like for PC3, additional power back-off is needed for large allocations and for some small allocations residing at the right edge of the channel. The reason for the latter case is strict ETSI out-of-band emission requirements for the upper edge of this band. </w:t>
      </w:r>
      <w:r w:rsidR="00751068">
        <w:t>If the 5MHz transmission channel is shifted from the upper edge of the band, then required power back-off reduces significantly, and for instance small RB allocations are mostly within the existing MPR limits.</w:t>
      </w:r>
    </w:p>
    <w:p w14:paraId="60F4449B" w14:textId="77777777" w:rsidR="00A66D34" w:rsidRDefault="00A66D34" w:rsidP="00BD5FE5"/>
    <w:p w14:paraId="0D895688" w14:textId="7BE7F038" w:rsidR="002D16A6" w:rsidRDefault="002D16A6" w:rsidP="00BD5FE5">
      <w:r w:rsidRPr="002D16A6">
        <w:rPr>
          <w:noProof/>
        </w:rPr>
        <w:drawing>
          <wp:inline distT="0" distB="0" distL="0" distR="0" wp14:anchorId="0BF798F8" wp14:editId="5C820F1D">
            <wp:extent cx="6122035" cy="1440180"/>
            <wp:effectExtent l="0" t="0" r="0" b="0"/>
            <wp:docPr id="711083777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083777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2920B08E" w:rsidR="00366323" w:rsidRDefault="002D16A6" w:rsidP="002D16A6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A-MPR results for NS_05N (Fc=1624MHz).</w:t>
      </w:r>
    </w:p>
    <w:p w14:paraId="111FDE21" w14:textId="77777777" w:rsidR="002D16A6" w:rsidRDefault="002D16A6" w:rsidP="00BD5FE5"/>
    <w:p w14:paraId="777E5223" w14:textId="43CEDDE6" w:rsidR="00751068" w:rsidRDefault="00751068" w:rsidP="00BD5FE5">
      <w:r w:rsidRPr="00751068">
        <w:rPr>
          <w:noProof/>
        </w:rPr>
        <w:drawing>
          <wp:inline distT="0" distB="0" distL="0" distR="0" wp14:anchorId="72239A3E" wp14:editId="2AB4D950">
            <wp:extent cx="6122035" cy="1446530"/>
            <wp:effectExtent l="0" t="0" r="0" b="1270"/>
            <wp:docPr id="286673405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673405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5A1DD" w14:textId="7E0638BF" w:rsidR="002D16A6" w:rsidRDefault="00751068" w:rsidP="00751068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A-MPR results for NS_05N (Fc=1622.4MHz).</w:t>
      </w:r>
    </w:p>
    <w:p w14:paraId="5CD2CA88" w14:textId="77777777" w:rsidR="00751068" w:rsidRDefault="00751068" w:rsidP="00BD5FE5"/>
    <w:p w14:paraId="0C8F1856" w14:textId="77777777" w:rsidR="00DE1167" w:rsidRDefault="00DE1167" w:rsidP="00BD5FE5"/>
    <w:p w14:paraId="1B984C64" w14:textId="77777777" w:rsidR="00DE1167" w:rsidRDefault="00DE1167" w:rsidP="00BD5FE5"/>
    <w:p w14:paraId="1FF418DD" w14:textId="77777777" w:rsidR="00751068" w:rsidRPr="00BD5FE5" w:rsidRDefault="0075106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420DE7DC" w:rsidR="00691014" w:rsidRDefault="008D2E9F" w:rsidP="00EA4155">
      <w:pPr>
        <w:jc w:val="both"/>
      </w:pPr>
      <w:r>
        <w:t>In this discussion paper we have presented our initial power back-off simulation results for the NTN band n254 with the PC2 power class. The obtained results are generally in line with A-MPR requirements already defined for the PC</w:t>
      </w:r>
      <w:r w:rsidR="002735AF">
        <w:t>3</w:t>
      </w:r>
      <w:r>
        <w:t xml:space="preserve"> power class with the only major difference that large RB allocations need even larger power back-off. This is explained by the fact that large RB allocations at the edge create larger out-of-band emissions, which amplify further with a </w:t>
      </w:r>
      <w:r w:rsidR="008D7F80">
        <w:t>higher Tx power.</w:t>
      </w:r>
      <w:r>
        <w:t xml:space="preserve"> As for the small RB allocations, the preliminary results are very close to the ones </w:t>
      </w:r>
      <w:r w:rsidR="008D7F80">
        <w:t>obtained earlier for PC3.</w:t>
      </w:r>
    </w:p>
    <w:p w14:paraId="48495BA9" w14:textId="2B294165" w:rsidR="004902DB" w:rsidRPr="003767E7" w:rsidRDefault="004902DB" w:rsidP="004902DB">
      <w:pPr>
        <w:pStyle w:val="Proposal"/>
      </w:pPr>
      <w:r w:rsidRPr="003767E7">
        <w:t>Proposal 1:</w:t>
      </w:r>
      <w:r w:rsidRPr="003767E7">
        <w:tab/>
        <w:t>Capture PC2 A-MPR requirements for the NTN band n25</w:t>
      </w:r>
      <w:r>
        <w:t>4</w:t>
      </w:r>
      <w:r w:rsidRPr="003767E7">
        <w:t>.</w:t>
      </w:r>
    </w:p>
    <w:p w14:paraId="414E3112" w14:textId="77777777" w:rsidR="004902DB" w:rsidRPr="003767E7" w:rsidRDefault="004902DB" w:rsidP="004902DB">
      <w:pPr>
        <w:pStyle w:val="Proposal"/>
      </w:pPr>
      <w:r w:rsidRPr="003767E7">
        <w:t>Proposal 2:</w:t>
      </w:r>
      <w:r w:rsidRPr="003767E7">
        <w:tab/>
        <w:t xml:space="preserve">We ask RAN WG4 to discuss further whether we need to simulate </w:t>
      </w:r>
      <w:r>
        <w:t xml:space="preserve">PC2 for </w:t>
      </w:r>
      <w:r w:rsidRPr="003767E7">
        <w:t>allocations larger than 25RB, i.e. 5MHz channels, for those cases which are already A-MPR limited even for PC3.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lastRenderedPageBreak/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14E3" w14:textId="77777777" w:rsidR="00FD1BD3" w:rsidRDefault="00FD1BD3">
      <w:r>
        <w:separator/>
      </w:r>
    </w:p>
  </w:endnote>
  <w:endnote w:type="continuationSeparator" w:id="0">
    <w:p w14:paraId="3676B38C" w14:textId="77777777" w:rsidR="00FD1BD3" w:rsidRDefault="00FD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A42A" w14:textId="77777777" w:rsidR="00FD1BD3" w:rsidRDefault="00FD1BD3">
      <w:r>
        <w:separator/>
      </w:r>
    </w:p>
  </w:footnote>
  <w:footnote w:type="continuationSeparator" w:id="0">
    <w:p w14:paraId="086F21F3" w14:textId="77777777" w:rsidR="00FD1BD3" w:rsidRDefault="00FD1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0C47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62FF"/>
    <w:rsid w:val="00050D5E"/>
    <w:rsid w:val="00051834"/>
    <w:rsid w:val="000518D2"/>
    <w:rsid w:val="00052A65"/>
    <w:rsid w:val="00052D38"/>
    <w:rsid w:val="00053BA7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3178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160B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5794"/>
    <w:rsid w:val="00476248"/>
    <w:rsid w:val="004826A9"/>
    <w:rsid w:val="004837BD"/>
    <w:rsid w:val="00485965"/>
    <w:rsid w:val="0048636D"/>
    <w:rsid w:val="00487E97"/>
    <w:rsid w:val="004902DB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53B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5C1A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236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72282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2471"/>
    <w:rsid w:val="009A598E"/>
    <w:rsid w:val="009B2332"/>
    <w:rsid w:val="009B2BF8"/>
    <w:rsid w:val="009B65C0"/>
    <w:rsid w:val="009C067E"/>
    <w:rsid w:val="009C2464"/>
    <w:rsid w:val="009C2C1B"/>
    <w:rsid w:val="009C5E4C"/>
    <w:rsid w:val="009D0852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2D7F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03F7"/>
    <w:rsid w:val="00CC3BA1"/>
    <w:rsid w:val="00CC42C6"/>
    <w:rsid w:val="00CC5A27"/>
    <w:rsid w:val="00CD0B1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3917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44E8"/>
    <w:rsid w:val="00E65966"/>
    <w:rsid w:val="00E65AAE"/>
    <w:rsid w:val="00E668AB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05A4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1BD3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</cp:revision>
  <cp:lastPrinted>2019-02-25T14:05:00Z</cp:lastPrinted>
  <dcterms:created xsi:type="dcterms:W3CDTF">2025-04-25T08:49:00Z</dcterms:created>
  <dcterms:modified xsi:type="dcterms:W3CDTF">2025-05-06T19:42:00Z</dcterms:modified>
  <cp:category/>
</cp:coreProperties>
</file>